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73960210" name="name16007e1bad5132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0210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4BMEC MECCANICA,MECCATRONICA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ALBA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BERNACCHI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BRUNETTI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CAROFIGLIO FILOMENA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COSENTINO FRANCESCA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ZORZI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PIETRO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GASPAROTTO FULVIO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LANCIERI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ORTALE MARIA TERESA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PATTI ALESSANDRA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PILORI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RAGUSA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SAPONARA GIACOMO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VALENTINI ARMANDO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MECCANICA, MACCHINE ED ENERGIA,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